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38ED" w:rsidR="006B1A26" w:rsidP="007738ED" w:rsidRDefault="006B1A26" w14:paraId="6AD59EE1" w14:textId="77777777">
      <w:pPr>
        <w:pStyle w:val="Texto"/>
        <w:spacing w:before="0" w:after="0" w:line="240" w:lineRule="auto"/>
        <w:contextualSpacing/>
        <w:jc w:val="center"/>
        <w:rPr>
          <w:b/>
          <w:sz w:val="23"/>
          <w:szCs w:val="23"/>
        </w:rPr>
      </w:pPr>
      <w:r w:rsidRPr="007738ED">
        <w:rPr>
          <w:b/>
          <w:sz w:val="23"/>
          <w:szCs w:val="23"/>
        </w:rPr>
        <w:t>CIRCULAR EXTERNA</w:t>
      </w:r>
    </w:p>
    <w:sdt>
      <w:sdtPr>
        <w:rPr>
          <w:sz w:val="23"/>
          <w:szCs w:val="23"/>
        </w:rPr>
        <w:alias w:val="Consecutivo"/>
        <w:tag w:val="Consecutivo"/>
        <w:id w:val="2052717023"/>
        <w:placeholder>
          <w:docPart w:val="E01AC93871CE42F484BF7D46BBE9F8FD"/>
        </w:placeholder>
        <w:text/>
      </w:sdtPr>
      <w:sdtEndPr/>
      <w:sdtContent>
        <w:p w:rsidRPr="007738ED" w:rsidR="006B1A26" w:rsidP="007738ED" w:rsidRDefault="006B1A26" w14:paraId="203D0CA2" w14:textId="77777777">
          <w:pPr>
            <w:tabs>
              <w:tab w:val="left" w:pos="2843"/>
            </w:tabs>
            <w:spacing w:line="240" w:lineRule="auto"/>
            <w:contextualSpacing/>
            <w:jc w:val="center"/>
            <w:rPr>
              <w:sz w:val="23"/>
              <w:szCs w:val="23"/>
            </w:rPr>
          </w:pPr>
          <w:r>
            <w:t>SGF-3128-2023</w:t>
          </w:r>
        </w:p>
      </w:sdtContent>
    </w:sdt>
    <w:p w:rsidRPr="007738ED" w:rsidR="006B1A26" w:rsidP="007738ED" w:rsidRDefault="006B1A26" w14:paraId="611A7618" w14:textId="49107C4A">
      <w:pPr>
        <w:tabs>
          <w:tab w:val="left" w:pos="2843"/>
        </w:tabs>
        <w:spacing w:line="240" w:lineRule="auto"/>
        <w:contextualSpacing/>
        <w:jc w:val="center"/>
        <w:rPr>
          <w:sz w:val="23"/>
          <w:szCs w:val="23"/>
        </w:rPr>
      </w:pPr>
      <w:r w:rsidRPr="007738ED">
        <w:rPr>
          <w:sz w:val="23"/>
          <w:szCs w:val="23"/>
        </w:rPr>
        <w:t>2</w:t>
      </w:r>
      <w:r w:rsidR="007738ED">
        <w:rPr>
          <w:sz w:val="23"/>
          <w:szCs w:val="23"/>
        </w:rPr>
        <w:t>9</w:t>
      </w:r>
      <w:r w:rsidRPr="007738ED">
        <w:rPr>
          <w:sz w:val="23"/>
          <w:szCs w:val="23"/>
        </w:rPr>
        <w:t xml:space="preserve"> de noviembre de 2023</w:t>
      </w:r>
    </w:p>
    <w:p w:rsidRPr="007738ED" w:rsidR="006B1A26" w:rsidP="007738ED" w:rsidRDefault="006F43F5" w14:paraId="4F316F5A" w14:textId="77777777">
      <w:pPr>
        <w:tabs>
          <w:tab w:val="left" w:pos="2843"/>
        </w:tabs>
        <w:spacing w:line="240" w:lineRule="auto"/>
        <w:contextualSpacing/>
        <w:jc w:val="center"/>
        <w:rPr>
          <w:sz w:val="23"/>
          <w:szCs w:val="23"/>
        </w:rPr>
      </w:pPr>
      <w:sdt>
        <w:sdtPr>
          <w:rPr>
            <w:sz w:val="23"/>
            <w:szCs w:val="23"/>
          </w:rPr>
          <w:alias w:val="Confidencialidad"/>
          <w:tag w:val="Confidencialidad"/>
          <w:id w:val="1447896894"/>
          <w:placeholder>
            <w:docPart w:val="BF6E2B203EC6456594251E7B9B95DCA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738ED" w:rsidR="006B1A26">
            <w:rPr>
              <w:sz w:val="23"/>
              <w:szCs w:val="23"/>
            </w:rPr>
            <w:t>SGF-PUBLICO</w:t>
          </w:r>
        </w:sdtContent>
      </w:sdt>
    </w:p>
    <w:p w:rsidRPr="007738ED" w:rsidR="006B1A26" w:rsidP="007738ED" w:rsidRDefault="006B1A26" w14:paraId="3689BA78" w14:textId="77777777">
      <w:pPr>
        <w:tabs>
          <w:tab w:val="left" w:pos="2843"/>
        </w:tabs>
        <w:spacing w:line="240" w:lineRule="auto"/>
        <w:contextualSpacing/>
        <w:rPr>
          <w:sz w:val="23"/>
          <w:szCs w:val="23"/>
        </w:rPr>
      </w:pPr>
    </w:p>
    <w:p w:rsidRPr="007738ED" w:rsidR="006B1A26" w:rsidP="007738ED" w:rsidRDefault="006B1A26" w14:paraId="5CC36136" w14:textId="77777777">
      <w:pPr>
        <w:widowControl w:val="0"/>
        <w:spacing w:line="240" w:lineRule="auto"/>
        <w:ind w:left="34" w:right="86"/>
        <w:contextualSpacing/>
        <w:outlineLvl w:val="0"/>
        <w:rPr>
          <w:b/>
          <w:sz w:val="23"/>
          <w:szCs w:val="23"/>
          <w:lang w:val="es-CR"/>
        </w:rPr>
      </w:pPr>
      <w:r w:rsidRPr="007738ED">
        <w:rPr>
          <w:b/>
          <w:sz w:val="23"/>
          <w:szCs w:val="23"/>
          <w:lang w:val="es-CR"/>
        </w:rPr>
        <w:t xml:space="preserve">Dirigida a: </w:t>
      </w:r>
    </w:p>
    <w:p w:rsidRPr="007738ED" w:rsidR="006B1A26" w:rsidP="007738ED" w:rsidRDefault="006B1A26" w14:paraId="4E7549BB" w14:textId="77777777">
      <w:pPr>
        <w:widowControl w:val="0"/>
        <w:spacing w:line="240" w:lineRule="auto"/>
        <w:ind w:left="34" w:right="86"/>
        <w:contextualSpacing/>
        <w:outlineLvl w:val="0"/>
        <w:rPr>
          <w:b/>
          <w:sz w:val="23"/>
          <w:szCs w:val="23"/>
          <w:lang w:val="es-CR"/>
        </w:rPr>
      </w:pPr>
    </w:p>
    <w:p w:rsidRPr="007738ED" w:rsidR="006B1A26" w:rsidP="007738ED" w:rsidRDefault="006B1A26" w14:paraId="049A611B"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Bancos Comerciales del Estado</w:t>
      </w:r>
    </w:p>
    <w:p w:rsidRPr="007738ED" w:rsidR="006B1A26" w:rsidP="007738ED" w:rsidRDefault="006B1A26" w14:paraId="318BF7F1"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Bancos Creados por Leyes Especiales</w:t>
      </w:r>
    </w:p>
    <w:p w:rsidRPr="007738ED" w:rsidR="006B1A26" w:rsidP="007738ED" w:rsidRDefault="006B1A26" w14:paraId="61B395B1"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Bancos Privados</w:t>
      </w:r>
    </w:p>
    <w:p w:rsidRPr="007738ED" w:rsidR="006B1A26" w:rsidP="007738ED" w:rsidRDefault="006B1A26" w14:paraId="41828988"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Empresas Financieras no Bancarias</w:t>
      </w:r>
    </w:p>
    <w:p w:rsidRPr="007738ED" w:rsidR="006B1A26" w:rsidP="007738ED" w:rsidRDefault="006B1A26" w14:paraId="47E30544"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Otras Entidades Financieras</w:t>
      </w:r>
    </w:p>
    <w:p w:rsidRPr="007738ED" w:rsidR="006B1A26" w:rsidP="007738ED" w:rsidRDefault="006B1A26" w14:paraId="6B4DD9E4"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Organizaciones Cooperativas de Ahorro y Crédito</w:t>
      </w:r>
    </w:p>
    <w:p w:rsidRPr="007738ED" w:rsidR="006B1A26" w:rsidP="007738ED" w:rsidRDefault="006B1A26" w14:paraId="24ACF804" w14:textId="77777777">
      <w:pPr>
        <w:widowControl w:val="0"/>
        <w:numPr>
          <w:ilvl w:val="0"/>
          <w:numId w:val="5"/>
        </w:numPr>
        <w:spacing w:after="200" w:line="240" w:lineRule="auto"/>
        <w:ind w:left="567" w:right="86" w:hanging="567"/>
        <w:contextualSpacing/>
        <w:rPr>
          <w:b/>
          <w:sz w:val="23"/>
          <w:szCs w:val="23"/>
          <w:lang w:val="es-CR" w:eastAsia="es-ES"/>
        </w:rPr>
      </w:pPr>
      <w:r w:rsidRPr="007738ED">
        <w:rPr>
          <w:b/>
          <w:sz w:val="23"/>
          <w:szCs w:val="23"/>
          <w:lang w:val="es-CR" w:eastAsia="es-ES"/>
        </w:rPr>
        <w:t>Entidades Autorizadas del Sistema Financiera Nacional para la Vivienda</w:t>
      </w:r>
    </w:p>
    <w:p w:rsidRPr="007738ED" w:rsidR="006B1A26" w:rsidP="007738ED" w:rsidRDefault="006B1A26" w14:paraId="1AB3726B" w14:textId="77777777">
      <w:pPr>
        <w:widowControl w:val="0"/>
        <w:spacing w:line="240" w:lineRule="auto"/>
        <w:ind w:left="34" w:right="86"/>
        <w:contextualSpacing/>
        <w:rPr>
          <w:sz w:val="23"/>
          <w:szCs w:val="23"/>
          <w:lang w:val="es-CR"/>
        </w:rPr>
      </w:pPr>
    </w:p>
    <w:p w:rsidRPr="007738ED" w:rsidR="006B1A26" w:rsidP="007738ED" w:rsidRDefault="006B1A26" w14:paraId="713938DA" w14:textId="77777777">
      <w:pPr>
        <w:pStyle w:val="Texto"/>
        <w:spacing w:after="0" w:line="240" w:lineRule="auto"/>
        <w:contextualSpacing/>
        <w:rPr>
          <w:sz w:val="23"/>
          <w:szCs w:val="23"/>
        </w:rPr>
      </w:pPr>
      <w:r w:rsidRPr="007738ED">
        <w:rPr>
          <w:b/>
          <w:sz w:val="23"/>
          <w:szCs w:val="23"/>
        </w:rPr>
        <w:t xml:space="preserve">Asunto: </w:t>
      </w:r>
      <w:r w:rsidRPr="007738ED">
        <w:rPr>
          <w:sz w:val="23"/>
          <w:szCs w:val="23"/>
        </w:rPr>
        <w:t>Variación de ponderaciones por Riesgo de Crédito. (Acuerdo SUGEF 3-06).</w:t>
      </w:r>
    </w:p>
    <w:p w:rsidRPr="007738ED" w:rsidR="006B1A26" w:rsidP="007738ED" w:rsidRDefault="006B1A26" w14:paraId="3B46F610" w14:textId="77777777">
      <w:pPr>
        <w:pStyle w:val="Texto"/>
        <w:spacing w:after="0" w:line="240" w:lineRule="auto"/>
        <w:contextualSpacing/>
        <w:rPr>
          <w:b/>
          <w:sz w:val="23"/>
          <w:szCs w:val="23"/>
        </w:rPr>
      </w:pPr>
    </w:p>
    <w:p w:rsidRPr="007738ED" w:rsidR="006B1A26" w:rsidP="007738ED" w:rsidRDefault="006B1A26" w14:paraId="2C5A88D3" w14:textId="313B1E22">
      <w:pPr>
        <w:spacing w:line="240" w:lineRule="auto"/>
        <w:ind w:left="34"/>
        <w:contextualSpacing/>
        <w:jc w:val="left"/>
        <w:outlineLvl w:val="0"/>
        <w:rPr>
          <w:sz w:val="23"/>
          <w:szCs w:val="23"/>
        </w:rPr>
      </w:pPr>
      <w:r w:rsidRPr="007738ED">
        <w:rPr>
          <w:sz w:val="23"/>
          <w:szCs w:val="23"/>
        </w:rPr>
        <w:t>La Superintenden</w:t>
      </w:r>
      <w:r w:rsidR="006F43F5">
        <w:rPr>
          <w:sz w:val="23"/>
          <w:szCs w:val="23"/>
        </w:rPr>
        <w:t>cia</w:t>
      </w:r>
      <w:r w:rsidRPr="007738ED">
        <w:rPr>
          <w:sz w:val="23"/>
          <w:szCs w:val="23"/>
        </w:rPr>
        <w:t xml:space="preserve"> General de Entidades Financieras,</w:t>
      </w:r>
    </w:p>
    <w:p w:rsidRPr="007738ED" w:rsidR="006B1A26" w:rsidP="007738ED" w:rsidRDefault="006B1A26" w14:paraId="283FC54B" w14:textId="77777777">
      <w:pPr>
        <w:spacing w:line="240" w:lineRule="auto"/>
        <w:ind w:left="34"/>
        <w:contextualSpacing/>
        <w:jc w:val="left"/>
        <w:outlineLvl w:val="0"/>
        <w:rPr>
          <w:sz w:val="23"/>
          <w:szCs w:val="23"/>
        </w:rPr>
      </w:pPr>
    </w:p>
    <w:p w:rsidRPr="007738ED" w:rsidR="006B1A26" w:rsidP="007738ED" w:rsidRDefault="006B1A26" w14:paraId="3180A264" w14:textId="77777777">
      <w:pPr>
        <w:tabs>
          <w:tab w:val="left" w:pos="2843"/>
        </w:tabs>
        <w:spacing w:line="240" w:lineRule="auto"/>
        <w:contextualSpacing/>
        <w:rPr>
          <w:b/>
          <w:sz w:val="23"/>
          <w:szCs w:val="23"/>
        </w:rPr>
      </w:pPr>
      <w:r w:rsidRPr="007738ED">
        <w:rPr>
          <w:b/>
          <w:sz w:val="23"/>
          <w:szCs w:val="23"/>
        </w:rPr>
        <w:t>Considerando que:</w:t>
      </w:r>
    </w:p>
    <w:p w:rsidRPr="007738ED" w:rsidR="006B1A26" w:rsidP="007738ED" w:rsidRDefault="006B1A26" w14:paraId="2EE2AF7F" w14:textId="77777777">
      <w:pPr>
        <w:tabs>
          <w:tab w:val="left" w:pos="2843"/>
        </w:tabs>
        <w:spacing w:line="240" w:lineRule="auto"/>
        <w:contextualSpacing/>
        <w:rPr>
          <w:sz w:val="23"/>
          <w:szCs w:val="23"/>
        </w:rPr>
      </w:pPr>
    </w:p>
    <w:p w:rsidRPr="007738ED" w:rsidR="006B1A26" w:rsidP="007738ED" w:rsidRDefault="006B1A26" w14:paraId="49735475" w14:textId="77777777">
      <w:pPr>
        <w:pStyle w:val="Prrafodelista"/>
        <w:numPr>
          <w:ilvl w:val="0"/>
          <w:numId w:val="4"/>
        </w:numPr>
        <w:tabs>
          <w:tab w:val="left" w:pos="2843"/>
        </w:tabs>
        <w:spacing w:line="240" w:lineRule="auto"/>
        <w:rPr>
          <w:sz w:val="23"/>
          <w:szCs w:val="23"/>
        </w:rPr>
      </w:pPr>
      <w:r w:rsidRPr="007738ED">
        <w:rPr>
          <w:sz w:val="23"/>
          <w:szCs w:val="23"/>
        </w:rPr>
        <w:t xml:space="preserve">El Consejo Nacional de Supervisión del Sistema Financiero, mediante Artículo 14, de la Sesión 547-2006 de 5 de enero del 2006, aprobó el </w:t>
      </w:r>
      <w:r w:rsidRPr="007738ED">
        <w:rPr>
          <w:i/>
          <w:sz w:val="23"/>
          <w:szCs w:val="23"/>
        </w:rPr>
        <w:t>Reglamento sobre la suficiencia patrimonial de entidades financieras</w:t>
      </w:r>
      <w:r w:rsidRPr="007738ED">
        <w:rPr>
          <w:sz w:val="23"/>
          <w:szCs w:val="23"/>
        </w:rPr>
        <w:t>, Acuerdo SUGEF 3-06. Publicado en el Diario Oficial La Gaceta N° 13 el 18 de enero del 2006.</w:t>
      </w:r>
    </w:p>
    <w:p w:rsidRPr="007738ED" w:rsidR="006B1A26" w:rsidP="007738ED" w:rsidRDefault="006B1A26" w14:paraId="687BE49E" w14:textId="77777777">
      <w:pPr>
        <w:pStyle w:val="Prrafodelista"/>
        <w:tabs>
          <w:tab w:val="left" w:pos="2843"/>
        </w:tabs>
        <w:spacing w:line="240" w:lineRule="auto"/>
        <w:rPr>
          <w:sz w:val="23"/>
          <w:szCs w:val="23"/>
        </w:rPr>
      </w:pPr>
    </w:p>
    <w:p w:rsidRPr="007738ED" w:rsidR="006B1A26" w:rsidP="007738ED" w:rsidRDefault="006B1A26" w14:paraId="73FE729D" w14:textId="74F5F678">
      <w:pPr>
        <w:pStyle w:val="Prrafodelista"/>
        <w:numPr>
          <w:ilvl w:val="0"/>
          <w:numId w:val="4"/>
        </w:numPr>
        <w:tabs>
          <w:tab w:val="left" w:pos="2843"/>
        </w:tabs>
        <w:spacing w:line="240" w:lineRule="auto"/>
        <w:rPr>
          <w:sz w:val="23"/>
          <w:szCs w:val="23"/>
        </w:rPr>
      </w:pPr>
      <w:r w:rsidRPr="007738ED">
        <w:rPr>
          <w:sz w:val="23"/>
          <w:szCs w:val="23"/>
        </w:rPr>
        <w:t>El Acuerdo SUGEF 3-06 incluye el ANEXO 1 “</w:t>
      </w:r>
      <w:r w:rsidRPr="007738ED">
        <w:rPr>
          <w:i/>
          <w:sz w:val="23"/>
          <w:szCs w:val="23"/>
        </w:rPr>
        <w:t>Equivalencias de las calificaciones de las agencias calificadoras de riesgo internacionales”</w:t>
      </w:r>
      <w:r w:rsidRPr="007738ED">
        <w:rPr>
          <w:sz w:val="23"/>
          <w:szCs w:val="23"/>
        </w:rPr>
        <w:t xml:space="preserve">, en cuyo primer cuadro, se asocian las calificaciones de riesgo de largo plazo emitidas por agencias calificadoras, a 7 categorías de calificación (De categoría 0 a 6). En el tercer cuadro del mismo Anexo se indican los porcentajes de ponderación correspondientes a cada una de las siete categorías. </w:t>
      </w:r>
    </w:p>
    <w:p w:rsidRPr="007738ED" w:rsidR="006B1A26" w:rsidP="007738ED" w:rsidRDefault="006B1A26" w14:paraId="037FDC7D" w14:textId="77777777">
      <w:pPr>
        <w:spacing w:line="240" w:lineRule="auto"/>
        <w:contextualSpacing/>
        <w:rPr>
          <w:sz w:val="23"/>
          <w:szCs w:val="23"/>
        </w:rPr>
      </w:pPr>
    </w:p>
    <w:p w:rsidR="00096C83" w:rsidP="00096C83" w:rsidRDefault="00096C83" w14:paraId="2DB89BE5" w14:textId="2163546C">
      <w:pPr>
        <w:pStyle w:val="Prrafodelista"/>
        <w:numPr>
          <w:ilvl w:val="0"/>
          <w:numId w:val="4"/>
        </w:numPr>
        <w:tabs>
          <w:tab w:val="left" w:pos="2843"/>
        </w:tabs>
        <w:spacing w:line="240" w:lineRule="auto"/>
        <w:rPr>
          <w:sz w:val="23"/>
          <w:szCs w:val="23"/>
        </w:rPr>
      </w:pPr>
      <w:r w:rsidRPr="00096C83">
        <w:rPr>
          <w:sz w:val="23"/>
          <w:szCs w:val="23"/>
        </w:rPr>
        <w:t xml:space="preserve">Tres agencias calificadoras internacionales han realizado cambios a la calificación de riesgo </w:t>
      </w:r>
      <w:r>
        <w:rPr>
          <w:sz w:val="23"/>
          <w:szCs w:val="23"/>
        </w:rPr>
        <w:t xml:space="preserve">soberano </w:t>
      </w:r>
      <w:r w:rsidRPr="00096C83">
        <w:rPr>
          <w:sz w:val="23"/>
          <w:szCs w:val="23"/>
        </w:rPr>
        <w:t xml:space="preserve">en moneda extranjera y a largo plazo de Costa Rica. </w:t>
      </w:r>
      <w:r w:rsidRPr="00096C83" w:rsidR="006B1A26">
        <w:rPr>
          <w:sz w:val="23"/>
          <w:szCs w:val="23"/>
        </w:rPr>
        <w:t xml:space="preserve">El 3 de noviembre de 2023, la agencia clasificadora de riesgos Moody's </w:t>
      </w:r>
      <w:r w:rsidRPr="00096C83">
        <w:rPr>
          <w:sz w:val="23"/>
          <w:szCs w:val="23"/>
        </w:rPr>
        <w:t xml:space="preserve">mejoró </w:t>
      </w:r>
      <w:r w:rsidRPr="00096C83" w:rsidR="006B1A26">
        <w:rPr>
          <w:sz w:val="23"/>
          <w:szCs w:val="23"/>
        </w:rPr>
        <w:t xml:space="preserve">la calificación de </w:t>
      </w:r>
      <w:r w:rsidRPr="00096C83" w:rsidR="004C1BE9">
        <w:rPr>
          <w:sz w:val="23"/>
          <w:szCs w:val="23"/>
        </w:rPr>
        <w:t>'</w:t>
      </w:r>
      <w:r w:rsidRPr="00096C83" w:rsidR="006B1A26">
        <w:rPr>
          <w:sz w:val="23"/>
          <w:szCs w:val="23"/>
        </w:rPr>
        <w:t>B2</w:t>
      </w:r>
      <w:r w:rsidRPr="00096C83" w:rsidR="004C1BE9">
        <w:rPr>
          <w:sz w:val="23"/>
          <w:szCs w:val="23"/>
        </w:rPr>
        <w:t>'</w:t>
      </w:r>
      <w:r w:rsidRPr="00096C83" w:rsidR="006B1A26">
        <w:rPr>
          <w:sz w:val="23"/>
          <w:szCs w:val="23"/>
        </w:rPr>
        <w:t xml:space="preserve"> a </w:t>
      </w:r>
      <w:r w:rsidRPr="00096C83" w:rsidR="004C1BE9">
        <w:rPr>
          <w:sz w:val="23"/>
          <w:szCs w:val="23"/>
        </w:rPr>
        <w:t>'</w:t>
      </w:r>
      <w:r w:rsidRPr="00096C83" w:rsidR="006B1A26">
        <w:rPr>
          <w:sz w:val="23"/>
          <w:szCs w:val="23"/>
        </w:rPr>
        <w:t>B1</w:t>
      </w:r>
      <w:r w:rsidRPr="00096C83" w:rsidR="004C1BE9">
        <w:rPr>
          <w:sz w:val="23"/>
          <w:szCs w:val="23"/>
        </w:rPr>
        <w:t>'</w:t>
      </w:r>
      <w:r w:rsidRPr="00096C83">
        <w:rPr>
          <w:sz w:val="23"/>
          <w:szCs w:val="23"/>
        </w:rPr>
        <w:t xml:space="preserve">. El 27 de octubre de 2023, la agencia calificadora de riesgos Standard &amp; Poor's mejoró la calificación de 'B+' a 'BB-'. El 2 de marzo de 2023, la agencia calificadora Fitch Ratings </w:t>
      </w:r>
      <w:r>
        <w:rPr>
          <w:sz w:val="23"/>
          <w:szCs w:val="23"/>
        </w:rPr>
        <w:t xml:space="preserve">mejoró </w:t>
      </w:r>
      <w:r w:rsidRPr="00096C83">
        <w:rPr>
          <w:sz w:val="23"/>
          <w:szCs w:val="23"/>
        </w:rPr>
        <w:t>la calificación de 'B' a 'BB-'</w:t>
      </w:r>
      <w:r>
        <w:rPr>
          <w:sz w:val="23"/>
          <w:szCs w:val="23"/>
        </w:rPr>
        <w:t>.</w:t>
      </w:r>
    </w:p>
    <w:p w:rsidRPr="00096C83" w:rsidR="00096C83" w:rsidP="00096C83" w:rsidRDefault="00096C83" w14:paraId="1E4176D0" w14:textId="77777777">
      <w:pPr>
        <w:pStyle w:val="Prrafodelista"/>
        <w:rPr>
          <w:sz w:val="23"/>
          <w:szCs w:val="23"/>
        </w:rPr>
      </w:pPr>
    </w:p>
    <w:p w:rsidRPr="007738ED" w:rsidR="006B1A26" w:rsidP="007738ED" w:rsidRDefault="006B1A26" w14:paraId="40942F05" w14:textId="2547F5EC">
      <w:pPr>
        <w:pStyle w:val="Prrafodelista"/>
        <w:numPr>
          <w:ilvl w:val="0"/>
          <w:numId w:val="4"/>
        </w:numPr>
        <w:tabs>
          <w:tab w:val="left" w:pos="2843"/>
        </w:tabs>
        <w:spacing w:line="240" w:lineRule="auto"/>
        <w:rPr>
          <w:sz w:val="23"/>
          <w:szCs w:val="23"/>
        </w:rPr>
      </w:pPr>
      <w:r w:rsidRPr="007738ED">
        <w:rPr>
          <w:sz w:val="23"/>
          <w:szCs w:val="23"/>
        </w:rPr>
        <w:t xml:space="preserve">El Artículo 19, Uso de calificaciones, </w:t>
      </w:r>
      <w:r w:rsidRPr="007738ED" w:rsidR="00250FD5">
        <w:rPr>
          <w:sz w:val="23"/>
          <w:szCs w:val="23"/>
        </w:rPr>
        <w:t>del Acuerdo SUGEF 3-06,</w:t>
      </w:r>
      <w:r w:rsidRPr="007738ED">
        <w:rPr>
          <w:sz w:val="23"/>
          <w:szCs w:val="23"/>
        </w:rPr>
        <w:t xml:space="preserve"> señala, entre otras cosas, que: '</w:t>
      </w:r>
      <w:r w:rsidRPr="007738ED">
        <w:rPr>
          <w:i/>
          <w:iCs/>
          <w:sz w:val="23"/>
          <w:szCs w:val="23"/>
        </w:rPr>
        <w:t>Se aceptan para efectos del cálculo de la suficiencia patrimonial las calificaciones públicas de riesgo emitidas bajo criterio internacional por Standard &amp; Poors, Moody's y Fitch, y las calificaciones de las agencias calificadoras autorizadas por la SUGEVAL, las cuales deberán encontrarse dentro de su periodo de vigencia</w:t>
      </w:r>
      <w:r w:rsidRPr="007738ED" w:rsidR="00A92AA8">
        <w:rPr>
          <w:sz w:val="23"/>
          <w:szCs w:val="23"/>
        </w:rPr>
        <w:t>.</w:t>
      </w:r>
      <w:r w:rsidRPr="007738ED">
        <w:rPr>
          <w:sz w:val="23"/>
          <w:szCs w:val="23"/>
        </w:rPr>
        <w:t xml:space="preserve"> […] </w:t>
      </w:r>
    </w:p>
    <w:p w:rsidRPr="007738ED" w:rsidR="006B1A26" w:rsidP="007738ED" w:rsidRDefault="006B1A26" w14:paraId="0FDCA7A3" w14:textId="77777777">
      <w:pPr>
        <w:pStyle w:val="Prrafodelista"/>
        <w:tabs>
          <w:tab w:val="left" w:pos="2843"/>
        </w:tabs>
        <w:spacing w:line="240" w:lineRule="auto"/>
        <w:rPr>
          <w:sz w:val="23"/>
          <w:szCs w:val="23"/>
        </w:rPr>
      </w:pPr>
      <w:r w:rsidRPr="007738ED">
        <w:rPr>
          <w:i/>
          <w:iCs/>
          <w:sz w:val="23"/>
          <w:szCs w:val="23"/>
        </w:rPr>
        <w:lastRenderedPageBreak/>
        <w:t>La calificación de largo plazo del emisor o deudor se utiliza para los activos más pasivos contingentes de largo plazo y la calificación de corto plazo se utiliza para los activos más pasivos contingentes cuya fecha de vencimiento esté dentro del plazo que abarca la calificación de corto plazo</w:t>
      </w:r>
      <w:r w:rsidRPr="007738ED">
        <w:rPr>
          <w:sz w:val="23"/>
          <w:szCs w:val="23"/>
        </w:rPr>
        <w:t xml:space="preserve">. […] </w:t>
      </w:r>
    </w:p>
    <w:p w:rsidRPr="007738ED" w:rsidR="006B1A26" w:rsidP="007738ED" w:rsidRDefault="006B1A26" w14:paraId="1F17E35F" w14:textId="4E7CBFE1">
      <w:pPr>
        <w:pStyle w:val="Prrafodelista"/>
        <w:tabs>
          <w:tab w:val="left" w:pos="2843"/>
        </w:tabs>
        <w:spacing w:line="240" w:lineRule="auto"/>
        <w:rPr>
          <w:sz w:val="23"/>
          <w:szCs w:val="23"/>
        </w:rPr>
      </w:pPr>
      <w:r w:rsidRPr="007738ED">
        <w:rPr>
          <w:b/>
          <w:bCs/>
          <w:i/>
          <w:iCs/>
          <w:sz w:val="23"/>
          <w:szCs w:val="23"/>
        </w:rPr>
        <w:t>Cuando existan más de dos calificaciones de diferentes agencias calificadoras, se aplica la segunda de mayor riesgo.</w:t>
      </w:r>
      <w:r w:rsidRPr="007738ED" w:rsidR="00A92AA8">
        <w:rPr>
          <w:sz w:val="23"/>
          <w:szCs w:val="23"/>
        </w:rPr>
        <w:t xml:space="preserve"> […]</w:t>
      </w:r>
      <w:r w:rsidRPr="007738ED">
        <w:rPr>
          <w:sz w:val="23"/>
          <w:szCs w:val="23"/>
        </w:rPr>
        <w:t>' (El resaltado no forma parte del original).</w:t>
      </w:r>
    </w:p>
    <w:p w:rsidR="006B1A26" w:rsidP="007738ED" w:rsidRDefault="006B1A26" w14:paraId="727A6E1A" w14:textId="47B23D18">
      <w:pPr>
        <w:pStyle w:val="Prrafodelista"/>
        <w:tabs>
          <w:tab w:val="left" w:pos="2843"/>
        </w:tabs>
        <w:spacing w:line="240" w:lineRule="auto"/>
        <w:rPr>
          <w:sz w:val="23"/>
          <w:szCs w:val="23"/>
        </w:rPr>
      </w:pPr>
    </w:p>
    <w:p w:rsidR="00694679" w:rsidP="00694679" w:rsidRDefault="00694679" w14:paraId="1BDEA500" w14:textId="75D1B655">
      <w:pPr>
        <w:pStyle w:val="Prrafodelista"/>
        <w:numPr>
          <w:ilvl w:val="0"/>
          <w:numId w:val="4"/>
        </w:numPr>
        <w:tabs>
          <w:tab w:val="left" w:pos="2843"/>
        </w:tabs>
        <w:spacing w:line="240" w:lineRule="auto"/>
        <w:rPr>
          <w:sz w:val="23"/>
          <w:szCs w:val="23"/>
        </w:rPr>
      </w:pPr>
      <w:r>
        <w:rPr>
          <w:sz w:val="23"/>
          <w:szCs w:val="23"/>
        </w:rPr>
        <w:t xml:space="preserve">A partir de las calificaciones indicadas en el considerando III anterior, la segunda calificación de mayor riesgo corresponde a la Categoría 4 del ANEXO 1, para la cual corresponde un ponderador de riesgo de 75%. </w:t>
      </w:r>
    </w:p>
    <w:p w:rsidR="00694679" w:rsidP="007738ED" w:rsidRDefault="00694679" w14:paraId="31CE6160" w14:textId="77777777">
      <w:pPr>
        <w:pStyle w:val="Prrafodelista"/>
        <w:tabs>
          <w:tab w:val="left" w:pos="2843"/>
        </w:tabs>
        <w:spacing w:line="240" w:lineRule="auto"/>
        <w:rPr>
          <w:sz w:val="23"/>
          <w:szCs w:val="23"/>
        </w:rPr>
      </w:pPr>
    </w:p>
    <w:p w:rsidRPr="007738ED" w:rsidR="006B1A26" w:rsidP="007738ED" w:rsidRDefault="006B1A26" w14:paraId="5DDEDD4B" w14:textId="0975AC9F">
      <w:pPr>
        <w:pStyle w:val="Prrafodelista"/>
        <w:numPr>
          <w:ilvl w:val="0"/>
          <w:numId w:val="4"/>
        </w:numPr>
        <w:tabs>
          <w:tab w:val="left" w:pos="2843"/>
        </w:tabs>
        <w:spacing w:line="240" w:lineRule="auto"/>
        <w:rPr>
          <w:sz w:val="23"/>
          <w:szCs w:val="23"/>
        </w:rPr>
      </w:pPr>
      <w:r w:rsidRPr="007738ED">
        <w:rPr>
          <w:sz w:val="23"/>
          <w:szCs w:val="23"/>
        </w:rPr>
        <w:t xml:space="preserve">En consideración de lo anterior, la categoría </w:t>
      </w:r>
      <w:r w:rsidR="00694679">
        <w:rPr>
          <w:sz w:val="23"/>
          <w:szCs w:val="23"/>
        </w:rPr>
        <w:t xml:space="preserve">y el ponderador </w:t>
      </w:r>
      <w:r w:rsidRPr="007738ED">
        <w:rPr>
          <w:sz w:val="23"/>
          <w:szCs w:val="23"/>
        </w:rPr>
        <w:t>aplicable a los activos a plazo más pasivos contingentes denominados moneda extranjera en el Banco Central de Costa Rica y en el Gobierno de la República de Costa Rica, será de 4. Esta categoría implica una disminución en el ponderador de riesgo de 90% a 75%, según lo dispuesto en el Acuerdo SUGEF 3-06.</w:t>
      </w:r>
    </w:p>
    <w:p w:rsidRPr="007738ED" w:rsidR="006B1A26" w:rsidP="007738ED" w:rsidRDefault="006B1A26" w14:paraId="49DC7E35" w14:textId="77777777">
      <w:pPr>
        <w:tabs>
          <w:tab w:val="left" w:pos="2843"/>
        </w:tabs>
        <w:spacing w:line="240" w:lineRule="auto"/>
        <w:contextualSpacing/>
        <w:rPr>
          <w:sz w:val="23"/>
          <w:szCs w:val="23"/>
        </w:rPr>
      </w:pPr>
    </w:p>
    <w:p w:rsidRPr="007738ED" w:rsidR="006B1A26" w:rsidP="007738ED" w:rsidRDefault="006B1A26" w14:paraId="2AE289AD" w14:textId="77777777">
      <w:pPr>
        <w:spacing w:before="120" w:after="240" w:line="240" w:lineRule="auto"/>
        <w:contextualSpacing/>
        <w:rPr>
          <w:b/>
          <w:sz w:val="23"/>
          <w:szCs w:val="23"/>
        </w:rPr>
      </w:pPr>
      <w:r w:rsidRPr="007738ED">
        <w:rPr>
          <w:b/>
          <w:sz w:val="23"/>
          <w:szCs w:val="23"/>
        </w:rPr>
        <w:t xml:space="preserve">Dispone: </w:t>
      </w:r>
    </w:p>
    <w:p w:rsidRPr="007738ED" w:rsidR="006B1A26" w:rsidP="007738ED" w:rsidRDefault="006B1A26" w14:paraId="4FC88431" w14:textId="44C319A0">
      <w:pPr>
        <w:pStyle w:val="Prrafodelista"/>
        <w:numPr>
          <w:ilvl w:val="0"/>
          <w:numId w:val="3"/>
        </w:numPr>
        <w:tabs>
          <w:tab w:val="left" w:pos="2843"/>
        </w:tabs>
        <w:spacing w:line="240" w:lineRule="auto"/>
        <w:rPr>
          <w:sz w:val="23"/>
          <w:szCs w:val="23"/>
        </w:rPr>
      </w:pPr>
      <w:r w:rsidRPr="007738ED">
        <w:rPr>
          <w:sz w:val="23"/>
          <w:szCs w:val="23"/>
        </w:rPr>
        <w:t xml:space="preserve">Para la información con corte a noviembre de 2023 y </w:t>
      </w:r>
      <w:r w:rsidR="00694679">
        <w:rPr>
          <w:sz w:val="23"/>
          <w:szCs w:val="23"/>
        </w:rPr>
        <w:t xml:space="preserve">hasta tanto la aplicación de del Artículo 19 del Acuerdo SUGEF 3-06 no resulte en una categoría diferente para efectos de ponderación de riesgos, </w:t>
      </w:r>
      <w:r w:rsidRPr="007738ED">
        <w:rPr>
          <w:sz w:val="23"/>
          <w:szCs w:val="23"/>
        </w:rPr>
        <w:t>la categoría de riesgo a aplicar es 4</w:t>
      </w:r>
      <w:r w:rsidR="00694679">
        <w:rPr>
          <w:sz w:val="23"/>
          <w:szCs w:val="23"/>
        </w:rPr>
        <w:t xml:space="preserve"> para la cual corresponde </w:t>
      </w:r>
      <w:r w:rsidRPr="007738ED">
        <w:rPr>
          <w:sz w:val="23"/>
          <w:szCs w:val="23"/>
        </w:rPr>
        <w:t xml:space="preserve">una ponderación igual al 75% </w:t>
      </w:r>
      <w:r w:rsidR="00694679">
        <w:rPr>
          <w:sz w:val="23"/>
          <w:szCs w:val="23"/>
        </w:rPr>
        <w:t xml:space="preserve">aplicable </w:t>
      </w:r>
      <w:r w:rsidRPr="007738ED">
        <w:rPr>
          <w:sz w:val="23"/>
          <w:szCs w:val="23"/>
        </w:rPr>
        <w:t>para '</w:t>
      </w:r>
      <w:r w:rsidRPr="007738ED">
        <w:rPr>
          <w:i/>
          <w:iCs/>
          <w:sz w:val="23"/>
          <w:szCs w:val="23"/>
        </w:rPr>
        <w:t>los activos a plazo más pasivos contingentes denominados moneda extranjera en el Banco Central de Costa Rica y en el Gobierno de la República de Costa Rica</w:t>
      </w:r>
      <w:r w:rsidRPr="007738ED">
        <w:rPr>
          <w:sz w:val="23"/>
          <w:szCs w:val="23"/>
        </w:rPr>
        <w:t>'</w:t>
      </w:r>
      <w:r w:rsidRPr="007738ED" w:rsidR="002D3C49">
        <w:rPr>
          <w:sz w:val="23"/>
          <w:szCs w:val="23"/>
        </w:rPr>
        <w:t xml:space="preserve">, según el Anexo 1 del </w:t>
      </w:r>
      <w:r w:rsidRPr="007738ED" w:rsidR="002D3C49">
        <w:rPr>
          <w:i/>
          <w:sz w:val="23"/>
          <w:szCs w:val="23"/>
        </w:rPr>
        <w:t>Reglamento sobre la suficiencia patrimonial de entidades financieras</w:t>
      </w:r>
      <w:r w:rsidRPr="007738ED" w:rsidR="002D3C49">
        <w:rPr>
          <w:sz w:val="23"/>
          <w:szCs w:val="23"/>
        </w:rPr>
        <w:t>, Acuerdo SUGEF 3-06.</w:t>
      </w:r>
    </w:p>
    <w:p w:rsidRPr="007738ED" w:rsidR="006B1A26" w:rsidP="007738ED" w:rsidRDefault="006B1A26" w14:paraId="5A843D8A" w14:textId="77777777">
      <w:pPr>
        <w:pStyle w:val="Prrafodelista"/>
        <w:tabs>
          <w:tab w:val="left" w:pos="2843"/>
        </w:tabs>
        <w:spacing w:line="240" w:lineRule="auto"/>
        <w:rPr>
          <w:sz w:val="23"/>
          <w:szCs w:val="23"/>
        </w:rPr>
      </w:pPr>
    </w:p>
    <w:p w:rsidRPr="007738ED" w:rsidR="006B1A26" w:rsidP="007738ED" w:rsidRDefault="006B1A26" w14:paraId="1E39CCFF" w14:textId="27FEEF07">
      <w:pPr>
        <w:pStyle w:val="Prrafodelista"/>
        <w:numPr>
          <w:ilvl w:val="0"/>
          <w:numId w:val="3"/>
        </w:numPr>
        <w:tabs>
          <w:tab w:val="left" w:pos="2843"/>
        </w:tabs>
        <w:spacing w:line="240" w:lineRule="auto"/>
        <w:rPr>
          <w:sz w:val="23"/>
          <w:szCs w:val="23"/>
        </w:rPr>
      </w:pPr>
      <w:r w:rsidRPr="007738ED">
        <w:rPr>
          <w:sz w:val="23"/>
          <w:szCs w:val="23"/>
        </w:rPr>
        <w:t>Derogar la Circular SGF-04</w:t>
      </w:r>
      <w:r w:rsidRPr="007738ED" w:rsidR="00E744A2">
        <w:rPr>
          <w:sz w:val="23"/>
          <w:szCs w:val="23"/>
        </w:rPr>
        <w:t>7</w:t>
      </w:r>
      <w:r w:rsidRPr="007738ED">
        <w:rPr>
          <w:sz w:val="23"/>
          <w:szCs w:val="23"/>
        </w:rPr>
        <w:t xml:space="preserve">6-2019 del 14 de febrero de 2019. </w:t>
      </w:r>
    </w:p>
    <w:p w:rsidRPr="007738ED" w:rsidR="006B1A26" w:rsidP="007738ED" w:rsidRDefault="006B1A26" w14:paraId="2A7A21C3" w14:textId="77777777">
      <w:pPr>
        <w:tabs>
          <w:tab w:val="left" w:pos="2843"/>
        </w:tabs>
        <w:spacing w:line="240" w:lineRule="auto"/>
        <w:contextualSpacing/>
        <w:rPr>
          <w:sz w:val="23"/>
          <w:szCs w:val="23"/>
        </w:rPr>
      </w:pPr>
    </w:p>
    <w:p w:rsidRPr="007738ED" w:rsidR="006B1A26" w:rsidP="007738ED" w:rsidRDefault="006B1A26" w14:paraId="5A48644C" w14:textId="0E88EAB0">
      <w:pPr>
        <w:pStyle w:val="Texto"/>
        <w:spacing w:before="0" w:after="0" w:line="240" w:lineRule="auto"/>
        <w:contextualSpacing/>
        <w:rPr>
          <w:sz w:val="23"/>
          <w:szCs w:val="23"/>
        </w:rPr>
      </w:pPr>
      <w:r w:rsidRPr="007738ED">
        <w:rPr>
          <w:noProof/>
          <w:sz w:val="23"/>
          <w:szCs w:val="23"/>
          <w:lang w:val="es-CR" w:eastAsia="es-CR"/>
        </w:rPr>
        <w:drawing>
          <wp:anchor distT="0" distB="0" distL="114300" distR="114300" simplePos="0" relativeHeight="251659264" behindDoc="1" locked="0" layoutInCell="1" allowOverlap="1" wp14:editId="7AC6623F" wp14:anchorId="4E8C6332">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738ED">
        <w:rPr>
          <w:sz w:val="23"/>
          <w:szCs w:val="23"/>
        </w:rPr>
        <w:t>Atentamente,</w:t>
      </w:r>
    </w:p>
    <w:p w:rsidRPr="007738ED" w:rsidR="007738ED" w:rsidP="007738ED" w:rsidRDefault="007738ED" w14:paraId="35A02C31" w14:textId="77777777">
      <w:pPr>
        <w:pStyle w:val="Texto"/>
        <w:spacing w:before="0" w:after="0" w:line="240" w:lineRule="auto"/>
        <w:contextualSpacing/>
        <w:rPr>
          <w:sz w:val="23"/>
          <w:szCs w:val="23"/>
        </w:rPr>
      </w:pPr>
    </w:p>
    <w:p w:rsidRPr="007738ED" w:rsidR="006B1A26" w:rsidP="007738ED" w:rsidRDefault="006B1A26" w14:paraId="263C9CFD" w14:textId="77777777">
      <w:pPr>
        <w:spacing w:line="240" w:lineRule="auto"/>
        <w:contextualSpacing/>
        <w:rPr>
          <w:sz w:val="23"/>
          <w:szCs w:val="23"/>
        </w:rPr>
      </w:pPr>
    </w:p>
    <w:p w:rsidRPr="007738ED" w:rsidR="007738ED" w:rsidP="007738ED" w:rsidRDefault="007738ED" w14:paraId="119CFCE8" w14:textId="77777777">
      <w:pPr>
        <w:spacing w:after="160" w:line="240" w:lineRule="auto"/>
        <w:contextualSpacing/>
        <w:jc w:val="left"/>
        <w:rPr>
          <w:sz w:val="23"/>
          <w:szCs w:val="23"/>
        </w:rPr>
      </w:pPr>
      <w:bookmarkStart w:name="_Hlk53758837" w:id="0"/>
      <w:r w:rsidRPr="007738ED">
        <w:rPr>
          <w:sz w:val="23"/>
          <w:szCs w:val="23"/>
        </w:rPr>
        <w:t>José Armando Fallas Martínez</w:t>
      </w:r>
    </w:p>
    <w:p w:rsidRPr="007738ED" w:rsidR="006B1A26" w:rsidP="007738ED" w:rsidRDefault="007738ED" w14:paraId="2CED5A55" w14:textId="66917E9B">
      <w:pPr>
        <w:spacing w:after="160" w:line="240" w:lineRule="auto"/>
        <w:contextualSpacing/>
        <w:jc w:val="left"/>
        <w:rPr>
          <w:b/>
          <w:bCs/>
          <w:sz w:val="23"/>
          <w:szCs w:val="23"/>
        </w:rPr>
      </w:pPr>
      <w:r w:rsidRPr="007738ED">
        <w:rPr>
          <w:b/>
          <w:bCs/>
          <w:sz w:val="23"/>
          <w:szCs w:val="23"/>
        </w:rPr>
        <w:t>I</w:t>
      </w:r>
      <w:r w:rsidRPr="007738ED" w:rsidR="006B1A26">
        <w:rPr>
          <w:b/>
          <w:bCs/>
          <w:sz w:val="23"/>
          <w:szCs w:val="23"/>
        </w:rPr>
        <w:t>ntendente General</w:t>
      </w:r>
    </w:p>
    <w:p w:rsidRPr="007738ED" w:rsidR="007738ED" w:rsidP="007738ED" w:rsidRDefault="007738ED" w14:paraId="76B2FB1D" w14:textId="77777777">
      <w:pPr>
        <w:spacing w:after="160" w:line="240" w:lineRule="auto"/>
        <w:contextualSpacing/>
        <w:jc w:val="left"/>
        <w:rPr>
          <w:sz w:val="23"/>
          <w:szCs w:val="23"/>
        </w:rPr>
      </w:pPr>
    </w:p>
    <w:bookmarkEnd w:id="0"/>
    <w:p w:rsidRPr="007738ED" w:rsidR="006B1A26" w:rsidP="007738ED" w:rsidRDefault="006F43F5" w14:paraId="62F0C147" w14:textId="77777777">
      <w:pPr>
        <w:spacing w:before="120" w:after="120" w:line="240" w:lineRule="auto"/>
        <w:contextualSpacing/>
        <w:rPr>
          <w:rFonts w:eastAsia="Calibri"/>
          <w:bCs/>
          <w:sz w:val="23"/>
          <w:szCs w:val="23"/>
        </w:rPr>
      </w:pPr>
      <w:sdt>
        <w:sdtPr>
          <w:rPr>
            <w:rFonts w:eastAsia="Calibri"/>
            <w:bCs/>
            <w:sz w:val="23"/>
            <w:szCs w:val="23"/>
          </w:rPr>
          <w:alias w:val="Unidad generadora"/>
          <w:tag w:val="unidad generadora"/>
          <w:id w:val="11415835"/>
          <w:placeholder>
            <w:docPart w:val="FB545B867EEC46A49D669867865F439E"/>
          </w:placeholder>
        </w:sdtPr>
        <w:sdtEndPr/>
        <w:sdtContent>
          <w:r w:rsidRPr="007738ED" w:rsidR="006B1A26">
            <w:rPr>
              <w:rFonts w:eastAsia="Calibri"/>
              <w:bCs/>
              <w:sz w:val="23"/>
              <w:szCs w:val="23"/>
            </w:rPr>
            <w:t>Unidad generadora:</w:t>
          </w:r>
        </w:sdtContent>
      </w:sdt>
      <w:r w:rsidRPr="007738ED" w:rsidR="006B1A26">
        <w:rPr>
          <w:rFonts w:eastAsia="Calibri"/>
          <w:bCs/>
          <w:sz w:val="23"/>
          <w:szCs w:val="23"/>
        </w:rPr>
        <w:t xml:space="preserve"> Departamento de Normas, Dirección General de Servicios Técnicos</w:t>
      </w:r>
    </w:p>
    <w:p w:rsidRPr="007738ED" w:rsidR="006B1A26" w:rsidP="007738ED" w:rsidRDefault="006B1A26" w14:paraId="60719477" w14:textId="77777777">
      <w:pPr>
        <w:spacing w:before="120" w:after="120" w:line="240" w:lineRule="auto"/>
        <w:contextualSpacing/>
        <w:rPr>
          <w:rFonts w:eastAsia="Calibri"/>
          <w:bCs/>
          <w:sz w:val="23"/>
          <w:szCs w:val="23"/>
        </w:rPr>
      </w:pPr>
      <w:r w:rsidRPr="007738ED">
        <w:rPr>
          <w:rFonts w:eastAsia="Calibri"/>
          <w:bCs/>
          <w:sz w:val="23"/>
          <w:szCs w:val="23"/>
        </w:rPr>
        <w:t xml:space="preserve">Categoría: </w:t>
      </w:r>
      <w:sdt>
        <w:sdtPr>
          <w:rPr>
            <w:rFonts w:eastAsia="Calibri"/>
            <w:bCs/>
            <w:sz w:val="23"/>
            <w:szCs w:val="23"/>
          </w:rPr>
          <w:alias w:val="Categoria"/>
          <w:tag w:val="categoria"/>
          <w:id w:val="11415837"/>
          <w:placeholder>
            <w:docPart w:val="A138874091C941918FF8096EE158ECB5"/>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7738ED">
            <w:rPr>
              <w:rFonts w:eastAsia="Calibri"/>
              <w:bCs/>
              <w:sz w:val="23"/>
              <w:szCs w:val="23"/>
            </w:rPr>
            <w:t>Recordatorio</w:t>
          </w:r>
        </w:sdtContent>
      </w:sdt>
      <w:r w:rsidRPr="007738ED">
        <w:rPr>
          <w:rFonts w:eastAsia="Calibri"/>
          <w:bCs/>
          <w:sz w:val="23"/>
          <w:szCs w:val="23"/>
        </w:rPr>
        <w:t xml:space="preserve"> </w:t>
      </w:r>
    </w:p>
    <w:p w:rsidRPr="007738ED" w:rsidR="006B1A26" w:rsidP="007738ED" w:rsidRDefault="006B1A26" w14:paraId="0059765F" w14:textId="77777777">
      <w:pPr>
        <w:spacing w:before="120" w:after="120" w:line="240" w:lineRule="auto"/>
        <w:contextualSpacing/>
        <w:rPr>
          <w:rFonts w:eastAsia="Calibri"/>
          <w:bCs/>
          <w:sz w:val="23"/>
          <w:szCs w:val="23"/>
        </w:rPr>
      </w:pPr>
    </w:p>
    <w:p w:rsidRPr="007738ED" w:rsidR="006B1A26" w:rsidP="007738ED" w:rsidRDefault="006B1A26" w14:paraId="031EC586" w14:textId="77777777">
      <w:pPr>
        <w:spacing w:before="120" w:after="120" w:line="240" w:lineRule="auto"/>
        <w:contextualSpacing/>
        <w:rPr>
          <w:rFonts w:eastAsia="Calibri"/>
          <w:b/>
          <w:bCs/>
          <w:sz w:val="23"/>
          <w:szCs w:val="23"/>
          <w:lang w:val="es-CR"/>
        </w:rPr>
      </w:pPr>
      <w:r w:rsidRPr="007738ED">
        <w:rPr>
          <w:rFonts w:eastAsia="Calibri"/>
          <w:b/>
          <w:bCs/>
          <w:sz w:val="23"/>
          <w:szCs w:val="23"/>
          <w:lang w:val="es-CR"/>
        </w:rPr>
        <w:t>JSC/GAA/gvl*</w:t>
      </w:r>
    </w:p>
    <w:p w:rsidRPr="006B1A26" w:rsidR="00E42AAC" w:rsidRDefault="00E42AAC" w14:paraId="547B8CBD" w14:textId="77777777">
      <w:pPr>
        <w:rPr>
          <w:lang w:val="es-CR"/>
        </w:rPr>
      </w:pPr>
    </w:p>
    <w:sectPr w:rsidRPr="006B1A26"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AD09" w14:textId="77777777" w:rsidR="00BF69D5" w:rsidRDefault="00BF69D5" w:rsidP="00181ABF">
      <w:pPr>
        <w:spacing w:line="240" w:lineRule="auto"/>
      </w:pPr>
      <w:r>
        <w:separator/>
      </w:r>
    </w:p>
  </w:endnote>
  <w:endnote w:type="continuationSeparator" w:id="0">
    <w:p w14:paraId="44CFC7BD" w14:textId="77777777" w:rsidR="00BF69D5" w:rsidRDefault="00BF69D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F5" w:rsidRDefault="006F43F5" w14:paraId="19D74D33"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BC6BCE4" w14:textId="77777777">
      <w:tc>
        <w:tcPr>
          <w:tcW w:w="7356" w:type="dxa"/>
        </w:tcPr>
        <w:p w:rsidR="00825A38" w:rsidP="00825A38" w:rsidRDefault="00825A38" w14:paraId="6309B0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23B977F6" wp14:anchorId="4A36647A">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0C0F1745"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A36647A">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0C0F1745"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05B1F381" w14:textId="77777777">
          <w:pPr>
            <w:pStyle w:val="Piedepgina"/>
            <w:rPr>
              <w:b/>
              <w:color w:val="7F7F7F" w:themeColor="text1" w:themeTint="80"/>
              <w:sz w:val="16"/>
              <w:szCs w:val="16"/>
            </w:rPr>
          </w:pPr>
        </w:p>
      </w:tc>
      <w:tc>
        <w:tcPr>
          <w:tcW w:w="1472" w:type="dxa"/>
        </w:tcPr>
        <w:p w:rsidRPr="009349F3" w:rsidR="00825A38" w:rsidP="00181ABF" w:rsidRDefault="00825A38" w14:paraId="16D746E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72495589" w14:textId="77777777">
    <w:pPr>
      <w:pStyle w:val="Piedepgina"/>
    </w:pPr>
    <w:r>
      <w:rPr>
        <w:noProof/>
      </w:rPr>
      <w:drawing>
        <wp:anchor distT="0" distB="0" distL="114300" distR="114300" simplePos="0" relativeHeight="251659264" behindDoc="1" locked="0" layoutInCell="1" allowOverlap="1" wp14:editId="1ADF8572" wp14:anchorId="1D3BD177">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F5" w:rsidRDefault="006F43F5" w14:paraId="046D0DD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27E6" w14:textId="77777777" w:rsidR="00BF69D5" w:rsidRDefault="00BF69D5" w:rsidP="00181ABF">
      <w:pPr>
        <w:spacing w:line="240" w:lineRule="auto"/>
      </w:pPr>
      <w:r>
        <w:separator/>
      </w:r>
    </w:p>
  </w:footnote>
  <w:footnote w:type="continuationSeparator" w:id="0">
    <w:p w14:paraId="7F0214F0" w14:textId="77777777" w:rsidR="00BF69D5" w:rsidRDefault="00BF69D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F5" w:rsidRDefault="006F43F5" w14:paraId="44FA695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606BF9E9" w14:textId="77777777">
    <w:pPr>
      <w:pStyle w:val="Encabezado"/>
    </w:pPr>
  </w:p>
  <w:p w:rsidR="00181ABF" w:rsidP="00825A38" w:rsidRDefault="00181ABF" w14:paraId="295F49BF" w14:textId="77777777">
    <w:pPr>
      <w:pStyle w:val="Encabezado"/>
      <w:jc w:val="left"/>
    </w:pPr>
    <w:r>
      <w:rPr>
        <w:noProof/>
        <w:lang w:val="es-CR" w:eastAsia="es-CR"/>
      </w:rPr>
      <w:drawing>
        <wp:inline distT="0" distB="0" distL="0" distR="0" wp14:anchorId="5E40C976" wp14:editId="767D912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F5" w:rsidRDefault="006F43F5" w14:paraId="26CFEBC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EE"/>
    <w:multiLevelType w:val="hybridMultilevel"/>
    <w:tmpl w:val="3544FD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B3B624D"/>
    <w:multiLevelType w:val="hybridMultilevel"/>
    <w:tmpl w:val="E45A018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03162289">
    <w:abstractNumId w:val="1"/>
  </w:num>
  <w:num w:numId="2" w16cid:durableId="1445423807">
    <w:abstractNumId w:val="3"/>
  </w:num>
  <w:num w:numId="3" w16cid:durableId="314335726">
    <w:abstractNumId w:val="0"/>
  </w:num>
  <w:num w:numId="4" w16cid:durableId="1030761929">
    <w:abstractNumId w:val="2"/>
  </w:num>
  <w:num w:numId="5" w16cid:durableId="87446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D5"/>
    <w:rsid w:val="00005373"/>
    <w:rsid w:val="000202E3"/>
    <w:rsid w:val="00060EEA"/>
    <w:rsid w:val="00096C83"/>
    <w:rsid w:val="000D4BB5"/>
    <w:rsid w:val="000F7E22"/>
    <w:rsid w:val="00181ABF"/>
    <w:rsid w:val="001C19E8"/>
    <w:rsid w:val="00226DDC"/>
    <w:rsid w:val="002340AE"/>
    <w:rsid w:val="00250FD5"/>
    <w:rsid w:val="002D3C49"/>
    <w:rsid w:val="003172BE"/>
    <w:rsid w:val="003B5EE1"/>
    <w:rsid w:val="003F0443"/>
    <w:rsid w:val="0046105A"/>
    <w:rsid w:val="004958AA"/>
    <w:rsid w:val="004C1BE9"/>
    <w:rsid w:val="00694679"/>
    <w:rsid w:val="006B1A26"/>
    <w:rsid w:val="006E5443"/>
    <w:rsid w:val="006F43F5"/>
    <w:rsid w:val="007738ED"/>
    <w:rsid w:val="00825A38"/>
    <w:rsid w:val="008C7F0D"/>
    <w:rsid w:val="00937EF0"/>
    <w:rsid w:val="00A92AA8"/>
    <w:rsid w:val="00BF69D5"/>
    <w:rsid w:val="00C5066B"/>
    <w:rsid w:val="00C86462"/>
    <w:rsid w:val="00D2422E"/>
    <w:rsid w:val="00D67CC3"/>
    <w:rsid w:val="00D8274D"/>
    <w:rsid w:val="00D90222"/>
    <w:rsid w:val="00DF2ACF"/>
    <w:rsid w:val="00E42AAC"/>
    <w:rsid w:val="00E744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5BBED"/>
  <w15:chartTrackingRefBased/>
  <w15:docId w15:val="{392BA9D1-2BFB-49A1-8B55-6E565152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B1A26"/>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basedOn w:val="Normal"/>
    <w:uiPriority w:val="34"/>
    <w:rsid w:val="006B1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AC93871CE42F484BF7D46BBE9F8FD"/>
        <w:category>
          <w:name w:val="General"/>
          <w:gallery w:val="placeholder"/>
        </w:category>
        <w:types>
          <w:type w:val="bbPlcHdr"/>
        </w:types>
        <w:behaviors>
          <w:behavior w:val="content"/>
        </w:behaviors>
        <w:guid w:val="{682476EF-7E6A-45E3-8783-D47B7C2237AA}"/>
      </w:docPartPr>
      <w:docPartBody>
        <w:p w:rsidR="00DE05EC" w:rsidRDefault="00930FAF" w:rsidP="00930FAF">
          <w:pPr>
            <w:pStyle w:val="E01AC93871CE42F484BF7D46BBE9F8FD"/>
          </w:pPr>
          <w:r w:rsidRPr="001E0779">
            <w:rPr>
              <w:rStyle w:val="Textodelmarcadordeposicin"/>
            </w:rPr>
            <w:t>Haga clic aquí para escribir texto.</w:t>
          </w:r>
        </w:p>
      </w:docPartBody>
    </w:docPart>
    <w:docPart>
      <w:docPartPr>
        <w:name w:val="BF6E2B203EC6456594251E7B9B95DCAD"/>
        <w:category>
          <w:name w:val="General"/>
          <w:gallery w:val="placeholder"/>
        </w:category>
        <w:types>
          <w:type w:val="bbPlcHdr"/>
        </w:types>
        <w:behaviors>
          <w:behavior w:val="content"/>
        </w:behaviors>
        <w:guid w:val="{0F173058-0344-4828-84AE-3283FB58D6EB}"/>
      </w:docPartPr>
      <w:docPartBody>
        <w:p w:rsidR="00DE05EC" w:rsidRDefault="00930FAF" w:rsidP="00930FAF">
          <w:pPr>
            <w:pStyle w:val="BF6E2B203EC6456594251E7B9B95DCAD"/>
          </w:pPr>
          <w:r>
            <w:rPr>
              <w:rStyle w:val="Textodelmarcadordeposicin"/>
            </w:rPr>
            <w:t>Elija un elemento.</w:t>
          </w:r>
        </w:p>
      </w:docPartBody>
    </w:docPart>
    <w:docPart>
      <w:docPartPr>
        <w:name w:val="FB545B867EEC46A49D669867865F439E"/>
        <w:category>
          <w:name w:val="General"/>
          <w:gallery w:val="placeholder"/>
        </w:category>
        <w:types>
          <w:type w:val="bbPlcHdr"/>
        </w:types>
        <w:behaviors>
          <w:behavior w:val="content"/>
        </w:behaviors>
        <w:guid w:val="{611E54F5-A96F-40A7-90BB-5F3C6CF1C0AC}"/>
      </w:docPartPr>
      <w:docPartBody>
        <w:p w:rsidR="00DE05EC" w:rsidRDefault="00930FAF" w:rsidP="00930FAF">
          <w:pPr>
            <w:pStyle w:val="FB545B867EEC46A49D669867865F439E"/>
          </w:pPr>
          <w:r>
            <w:rPr>
              <w:rStyle w:val="Textodelmarcadordeposicin"/>
            </w:rPr>
            <w:t>Haga clic aquí para escribir texto.</w:t>
          </w:r>
        </w:p>
      </w:docPartBody>
    </w:docPart>
    <w:docPart>
      <w:docPartPr>
        <w:name w:val="A138874091C941918FF8096EE158ECB5"/>
        <w:category>
          <w:name w:val="General"/>
          <w:gallery w:val="placeholder"/>
        </w:category>
        <w:types>
          <w:type w:val="bbPlcHdr"/>
        </w:types>
        <w:behaviors>
          <w:behavior w:val="content"/>
        </w:behaviors>
        <w:guid w:val="{9511B3EB-5E9F-49E3-905C-06B33310D9AC}"/>
      </w:docPartPr>
      <w:docPartBody>
        <w:p w:rsidR="00DE05EC" w:rsidRDefault="00930FAF" w:rsidP="00930FAF">
          <w:pPr>
            <w:pStyle w:val="A138874091C941918FF8096EE158ECB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AF"/>
    <w:rsid w:val="00930FAF"/>
    <w:rsid w:val="00DE05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0FAF"/>
  </w:style>
  <w:style w:type="paragraph" w:customStyle="1" w:styleId="E01AC93871CE42F484BF7D46BBE9F8FD">
    <w:name w:val="E01AC93871CE42F484BF7D46BBE9F8FD"/>
    <w:rsid w:val="00930FAF"/>
  </w:style>
  <w:style w:type="paragraph" w:customStyle="1" w:styleId="BF6E2B203EC6456594251E7B9B95DCAD">
    <w:name w:val="BF6E2B203EC6456594251E7B9B95DCAD"/>
    <w:rsid w:val="00930FAF"/>
  </w:style>
  <w:style w:type="paragraph" w:customStyle="1" w:styleId="FB545B867EEC46A49D669867865F439E">
    <w:name w:val="FB545B867EEC46A49D669867865F439E"/>
    <w:rsid w:val="00930FAF"/>
  </w:style>
  <w:style w:type="paragraph" w:customStyle="1" w:styleId="A138874091C941918FF8096EE158ECB5">
    <w:name w:val="A138874091C941918FF8096EE158ECB5"/>
    <w:rsid w:val="0093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gvuBaBGMBlf9QxrAP/XJUE5L+6Yw1hWk7WlVi+eXdMU=</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r8lW61HQQc9LQMnM0IQOvVBsHyBlxi2PaHpbDWgHFCc=</DigestValue>
    </Reference>
  </SignedInfo>
  <SignatureValue>ZcygEbneNLjMcUjQtL3JG6J1Nw8p+Kd7yaVVMM9V4BwBv92YbJ/pd9BGHLkzPtFg6ybrS1dC8WOe
iKk7pHYrsyiMPgGW8p7U9v2lwP5MSeMoYV9XesHZCuJbCMheLMtWw/mZP2ZLt5YTF2v3wdzh84P8
ZuKOyNcPNo26iXhcmU1GvUnXL9Y1kYS6Jv8RbYQLwYb98Cyhv73tPao9+oz81yYtQ1X8AZuVwxQx
/ynhriB0Wm/ceEufr6z9mJFiC+3TjPnVDLBTyEoJM4UbFRS7c3IjcmBlpneXlzlWbafHHeYvjsU4
ZuUw4XSSenIT2wdLHO25voD63IN13tTPUAR5PQ==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PAigVLhs2vKR91x4N9mzA1tx4gQmVwx+DMMYviBygT0=</DigestValue>
      </Reference>
      <Reference URI="/word/endnotes.xml?ContentType=application/vnd.openxmlformats-officedocument.wordprocessingml.endnotes+xml">
        <DigestMethod Algorithm="http://www.w3.org/2001/04/xmlenc#sha256"/>
        <DigestValue>MkZhXHXbV8Rp8vr13VDYP0XA7bkgC0wxncZhS19MNYQ=</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/woy3suCD1A82mRhpwYM+prZI1JlKct1BLcPeptqxXw=</DigestValue>
      </Reference>
      <Reference URI="/word/footer2.xml?ContentType=application/vnd.openxmlformats-officedocument.wordprocessingml.footer+xml">
        <DigestMethod Algorithm="http://www.w3.org/2001/04/xmlenc#sha256"/>
        <DigestValue>Xa11fZnWPpJ+gqeONf0MOzfDe5i/okSKiZKLyScy7uk=</DigestValue>
      </Reference>
      <Reference URI="/word/footer3.xml?ContentType=application/vnd.openxmlformats-officedocument.wordprocessingml.footer+xml">
        <DigestMethod Algorithm="http://www.w3.org/2001/04/xmlenc#sha256"/>
        <DigestValue>fHZ2dWXMVS0G7EK1UNLkqYMH8DRh/7dcpMgMB6Bx0ZU=</DigestValue>
      </Reference>
      <Reference URI="/word/footnotes.xml?ContentType=application/vnd.openxmlformats-officedocument.wordprocessingml.footnotes+xml">
        <DigestMethod Algorithm="http://www.w3.org/2001/04/xmlenc#sha256"/>
        <DigestValue>wU6+L4MHAYRLNyGm2lobbB9OG5I/fPWWw7Wy7A0ssCw=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klVEXXrGS/cGtM/8OO9PKX2sXyl+p7ifMehKtkQiKHo=</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pyOxlwwA0foU561KBaiD9ikxnttBw8QTixwh3u45cQo=</DigestValue>
      </Reference>
      <Reference URI="/word/glossary/styles.xml?ContentType=application/vnd.openxmlformats-officedocument.wordprocessingml.styles+xml">
        <DigestMethod Algorithm="http://www.w3.org/2001/04/xmlenc#sha256"/>
        <DigestValue>HMJxWxsOc0p6xpa5FUGR3tQTgK9cplvousypATWx/YQ=</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6HYsbxDa8s615z25qBNV0PifN0YkGlISxixG53xHAfE=</DigestValue>
      </Reference>
      <Reference URI="/word/header2.xml?ContentType=application/vnd.openxmlformats-officedocument.wordprocessingml.header+xml">
        <DigestMethod Algorithm="http://www.w3.org/2001/04/xmlenc#sha256"/>
        <DigestValue>WGKezdM3AWROKjXSylUdRE4GjlIGq+Ixuil/kwwAju4=</DigestValue>
      </Reference>
      <Reference URI="/word/header3.xml?ContentType=application/vnd.openxmlformats-officedocument.wordprocessingml.header+xml">
        <DigestMethod Algorithm="http://www.w3.org/2001/04/xmlenc#sha256"/>
        <DigestValue>OKPZ+Nf/aKivREBXszE13+jb4ASt0zgQEhzC5Gbvt3I=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nAtJdIg1CpNkYYPsDC014+d3QDzZE7zWtR1jHTKLI0E=</DigestValue>
      </Reference>
      <Reference URI="/word/settings.xml?ContentType=application/vnd.openxmlformats-officedocument.wordprocessingml.settings+xml">
        <DigestMethod Algorithm="http://www.w3.org/2001/04/xmlenc#sha256"/>
        <DigestValue>0vhftHH1x0DwrfNH9XD2n9VAeZWkXYaG5lPu1BkHYkw=</DigestValue>
      </Reference>
      <Reference URI="/word/styles.xml?ContentType=application/vnd.openxmlformats-officedocument.wordprocessingml.styles+xml">
        <DigestMethod Algorithm="http://www.w3.org/2001/04/xmlenc#sha256"/>
        <DigestValue>/G0bUSwUc5Ijko2vpnuk46QvKjsDJUczp4PE+BOa+9k=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2023-11-29T22:13:26Z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2023-11-29T22:13:26Z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GjKIdGAjh1wJn9EdiVMjXp/9qhtEBGpjKaLurJnOCYCBBe68QEYDzIwMjMxMTI5MjIxMz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6N8iI7iyeN1DXOiFjids0MKYOSw=</xd:ByKey>
                  </xd:ResponderID>
                  <xd:ProducedAt>2023-11-29T15:48:27Z</xd:ProducedAt>
                </xd:OCSPIdentifier>
                <xd:DigestAlgAndValue>
                  <DigestMethod Algorithm="http://www.w3.org/2001/04/xmlenc#sha256"/>
                  <DigestValue>f6jA4q8qdCi/m9z6Zf4d5i4Cj2MzftxasylzvLTi4ew=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85yRt1o4yD3AtlBpeo46LrtRMhfEV5PXAVQTXNLp1ACBBe68QQYDzIwMjMxMTI5MjIxMz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Cambio de Clasificación y Ponderador de Riesgo Costa Rica Noviembre 2023</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30C241-2B63-460D-9EB3-B1D795D9AC61}"/>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C61E458A-DD16-44AB-B066-84667215E4F2}"/>
</file>

<file path=customXml/itemProps5.xml><?xml version="1.0" encoding="utf-8"?>
<ds:datastoreItem xmlns:ds="http://schemas.openxmlformats.org/officeDocument/2006/customXml" ds:itemID="{7AA0C457-D51A-46EC-9B9C-0AB56EBE3DF3}"/>
</file>

<file path=customXml/itemProps6.xml><?xml version="1.0" encoding="utf-8"?>
<ds:datastoreItem xmlns:ds="http://schemas.openxmlformats.org/officeDocument/2006/customXml" ds:itemID="{FBE2A2FA-2BB9-4DC7-8DB3-C4E78577F046}"/>
</file>

<file path=docProps/app.xml><?xml version="1.0" encoding="utf-8"?>
<Properties xmlns="http://schemas.openxmlformats.org/officeDocument/2006/extended-properties" xmlns:vt="http://schemas.openxmlformats.org/officeDocument/2006/docPropsVTypes">
  <Template>plantilla-SGF-DST-DNO-22</Template>
  <TotalTime>40</TotalTime>
  <Pages>2</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22</cp:revision>
  <dcterms:created xsi:type="dcterms:W3CDTF">2023-11-28T20:14:00Z</dcterms:created>
  <dcterms:modified xsi:type="dcterms:W3CDTF">2023-11-29T16:21:00Z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2023-11-28T22:09:34Z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54595d57-c533-48e2-9b47-a4a2ef76815a</vt:lpwstr>
  </property>
  <property fmtid="{D5CDD505-2E9C-101B-9397-08002B2CF9AE}" pid="17" name="MSIP_Label_b8b4be34-365a-4a68-b9fb-75c1b6874315_ContentBits">
    <vt:lpwstr>2</vt:lpwstr>
  </property>
  <property fmtid="{D5CDD505-2E9C-101B-9397-08002B2CF9AE}" pid="18" name="Order">
    <vt:r8>137700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f1fd9d7f-da86-405a-9476-87cbb240632e,4;769919c7-9da3-41ff-b395-8ac0bca7c92c,7;</vt:lpwstr>
  </property>
</Properties>
</file>